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E27" w:rsidRPr="00BF6F43" w:rsidRDefault="00BF6F43" w:rsidP="00BF6F43">
      <w:pPr>
        <w:jc w:val="center"/>
        <w:rPr>
          <w:b/>
        </w:rPr>
      </w:pPr>
      <w:r w:rsidRPr="00BF6F43">
        <w:rPr>
          <w:rFonts w:hint="eastAsia"/>
          <w:b/>
        </w:rPr>
        <w:t xml:space="preserve">Table </w:t>
      </w:r>
      <w:proofErr w:type="spellStart"/>
      <w:r w:rsidRPr="00BF6F43">
        <w:rPr>
          <w:rFonts w:hint="eastAsia"/>
          <w:b/>
        </w:rPr>
        <w:t>S</w:t>
      </w:r>
      <w:r w:rsidRPr="00BF6F43">
        <w:rPr>
          <w:rFonts w:hint="eastAsia"/>
          <w:b/>
        </w:rPr>
        <w:t>1</w:t>
      </w:r>
      <w:proofErr w:type="spellEnd"/>
      <w:r w:rsidRPr="00BF6F43">
        <w:rPr>
          <w:rFonts w:hint="eastAsia"/>
          <w:b/>
        </w:rPr>
        <w:t xml:space="preserve"> Demographic and baseline characteristics of the patients by missing data status categories (missing vs non-missing).</w:t>
      </w:r>
    </w:p>
    <w:tbl>
      <w:tblPr>
        <w:tblStyle w:val="a3"/>
        <w:tblW w:w="10661" w:type="dxa"/>
        <w:tblInd w:w="-602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3205"/>
        <w:gridCol w:w="2648"/>
        <w:gridCol w:w="2492"/>
        <w:gridCol w:w="2316"/>
      </w:tblGrid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481E27" w:rsidP="00BF6F43">
            <w:pPr>
              <w:snapToGrid w:val="0"/>
              <w:spacing w:beforeLines="0" w:before="0" w:afterLines="0" w:after="0" w:line="240" w:lineRule="auto"/>
              <w:jc w:val="center"/>
            </w:pPr>
          </w:p>
        </w:tc>
        <w:tc>
          <w:tcPr>
            <w:tcW w:w="5140" w:type="dxa"/>
            <w:gridSpan w:val="2"/>
          </w:tcPr>
          <w:p w:rsidR="00481E27" w:rsidRDefault="00BF6F43" w:rsidP="00BF6F43">
            <w:pPr>
              <w:tabs>
                <w:tab w:val="left" w:pos="1418"/>
              </w:tabs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Missing data status</w:t>
            </w:r>
          </w:p>
        </w:tc>
        <w:tc>
          <w:tcPr>
            <w:tcW w:w="2316" w:type="dxa"/>
          </w:tcPr>
          <w:p w:rsidR="00481E27" w:rsidRDefault="00481E27" w:rsidP="00BF6F43">
            <w:pPr>
              <w:snapToGrid w:val="0"/>
              <w:spacing w:beforeLines="0" w:before="0" w:afterLines="0" w:after="0" w:line="240" w:lineRule="auto"/>
              <w:jc w:val="center"/>
            </w:pP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481E27" w:rsidP="00BF6F43">
            <w:pPr>
              <w:snapToGrid w:val="0"/>
              <w:spacing w:beforeLines="0" w:before="0" w:afterLines="0" w:after="0" w:line="240" w:lineRule="auto"/>
              <w:jc w:val="center"/>
            </w:pP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Missing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Non-Missing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P-value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N (total=104</w:t>
            </w:r>
            <w:r>
              <w:rPr>
                <w:rFonts w:hint="eastAsia"/>
              </w:rPr>
              <w:t>82</w:t>
            </w:r>
            <w:r>
              <w:t>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7209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3273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Age (years)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60.15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11.85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59.16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11.61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Male sex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5782(80.2%)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2668(81.5%)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0.1147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BMI (kg/</w:t>
            </w:r>
            <w:proofErr w:type="spellStart"/>
            <w:r>
              <w:t>m</w:t>
            </w:r>
            <w:r>
              <w:rPr>
                <w:vertAlign w:val="superscript"/>
              </w:rPr>
              <w:t>2</w:t>
            </w:r>
            <w:proofErr w:type="spellEnd"/>
            <w:r>
              <w:t>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24.36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3.07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24.38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2.93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0.7337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 xml:space="preserve">Baseline </w:t>
            </w:r>
            <w:proofErr w:type="spellStart"/>
            <w:r>
              <w:t>SBP</w:t>
            </w:r>
            <w:proofErr w:type="spellEnd"/>
            <w:r>
              <w:t xml:space="preserve"> (mmHg)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127.92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24.75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125.80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24.44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 xml:space="preserve">Baseline </w:t>
            </w:r>
            <w:proofErr w:type="spellStart"/>
            <w:r>
              <w:rPr>
                <w:rFonts w:hint="eastAsia"/>
              </w:rPr>
              <w:t>D</w:t>
            </w:r>
            <w:r>
              <w:t>BP</w:t>
            </w:r>
            <w:proofErr w:type="spellEnd"/>
            <w:r>
              <w:t xml:space="preserve"> (mmHg)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79.10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15.83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78.10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15.54</w:t>
            </w:r>
          </w:p>
        </w:tc>
        <w:tc>
          <w:tcPr>
            <w:tcW w:w="2316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0.0026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Heart</w:t>
            </w:r>
            <w:r>
              <w:rPr>
                <w:rFonts w:hint="eastAsia"/>
              </w:rPr>
              <w:t xml:space="preserve"> </w:t>
            </w:r>
            <w:r>
              <w:t>rate (</w:t>
            </w:r>
            <w:proofErr w:type="spellStart"/>
            <w:r>
              <w:t>b.p.m</w:t>
            </w:r>
            <w:proofErr w:type="spellEnd"/>
            <w:r>
              <w:t>.)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76.53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16.71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75.17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16.84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t>LVEF</w:t>
            </w:r>
            <w:proofErr w:type="spellEnd"/>
            <w:r>
              <w:t xml:space="preserve"> (%)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53.86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10.26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53.70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9.87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0.4504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Killip III/</w:t>
            </w:r>
            <w:proofErr w:type="gramStart"/>
            <w:r>
              <w:t>IV(</w:t>
            </w:r>
            <w:proofErr w:type="gramEnd"/>
            <w:r>
              <w:t>%)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381(5.3%)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166(5.1%)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0.6136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Mean glucose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8.88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45.86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10.38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78.70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0.3139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LDL-C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2.90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2.74 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2.84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1.34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0.1583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HDL-C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1.16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2.67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1.09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2.09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0.1810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Total Cholesterol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4.62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1.38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4.58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1.76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0.3641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Triglycerides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1.80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2.07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1.89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5.18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0.3571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Hs-CRP</w:t>
            </w:r>
            <w:r>
              <w:t>（</w:t>
            </w:r>
            <w:r>
              <w:t>mg/L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15.77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28.31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16.89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28.47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0.2539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NT-</w:t>
            </w:r>
            <w:proofErr w:type="spellStart"/>
            <w:r>
              <w:t>proBNP</w:t>
            </w:r>
            <w:proofErr w:type="spellEnd"/>
            <w:r>
              <w:t>（</w:t>
            </w:r>
            <w:proofErr w:type="spellStart"/>
            <w:r>
              <w:t>fmmol</w:t>
            </w:r>
            <w:proofErr w:type="spellEnd"/>
            <w:r>
              <w:t>/L</w:t>
            </w:r>
            <w:r>
              <w:t>）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1409.2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2979.8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1353.7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2643.4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0.4973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WBC (</w:t>
            </w:r>
            <w:proofErr w:type="spellStart"/>
            <w:r>
              <w:t>x10^9</w:t>
            </w:r>
            <w:proofErr w:type="spellEnd"/>
            <w:r>
              <w:t>/L)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10.65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3.56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10.46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3.49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0.0086</w:t>
            </w:r>
          </w:p>
        </w:tc>
      </w:tr>
      <w:tr w:rsidR="00481E27" w:rsidTr="00BF6F43">
        <w:trPr>
          <w:trHeight w:val="287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t>PLT</w:t>
            </w:r>
            <w:proofErr w:type="spellEnd"/>
            <w:r>
              <w:t xml:space="preserve"> (</w:t>
            </w:r>
            <w:proofErr w:type="spellStart"/>
            <w:r>
              <w:t>x10^9</w:t>
            </w:r>
            <w:proofErr w:type="spellEnd"/>
            <w:r>
              <w:t>/L)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212.73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64.95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213.30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63.35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0.6778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Serum creatinine (m</w:t>
            </w:r>
            <w:r>
              <w:t>mol/L</w:t>
            </w:r>
            <w:r>
              <w:rPr>
                <w:rFonts w:hint="eastAsia"/>
              </w:rPr>
              <w:t>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78.75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37.53 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77.97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29.51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0.2535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Previous MI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355(5.3%) 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165(5.0%)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0.5300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t>TnI</w:t>
            </w:r>
            <w:proofErr w:type="spellEnd"/>
            <w:r>
              <w:t xml:space="preserve"> (ng/mL)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37.68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53.53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39.84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63.47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0.2847</w:t>
            </w:r>
          </w:p>
        </w:tc>
      </w:tr>
      <w:tr w:rsidR="00481E27" w:rsidTr="00BF6F43">
        <w:trPr>
          <w:trHeight w:val="260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History of heart failure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65(1.0%) 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13(0.4%)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0.0014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Admission heart failure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839(11.7%)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313(9.6%)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0.0013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Admission cardiogenic Shock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185(2.6%)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112(3.4%)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0.0173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Admission cardiac arrest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75(1.0%)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32(1.0%)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0.7583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Peripheral vascular disease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31(0.5%)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12(0.4%)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0.5195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Hyperlipidemia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444(7.3%)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 363(11.1%)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Diabetes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1310(19.1%)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570(17.4%)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0.0436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Prior stroke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593(8.7%)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200(6.1%)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COPD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98(1.4%)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41(1.3%)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0.4785</w:t>
            </w:r>
          </w:p>
        </w:tc>
      </w:tr>
      <w:tr w:rsidR="00481E27" w:rsidTr="00BF6F43">
        <w:trPr>
          <w:trHeight w:val="274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t>Haemoglobin</w:t>
            </w:r>
            <w:proofErr w:type="spellEnd"/>
            <w:r>
              <w:t xml:space="preserve"> (g/dL)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139.78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19.66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139.98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>18.41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0.6098</w:t>
            </w:r>
          </w:p>
        </w:tc>
      </w:tr>
      <w:tr w:rsidR="00481E27" w:rsidTr="00BF6F43">
        <w:trPr>
          <w:trHeight w:val="260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t>ACEi</w:t>
            </w:r>
            <w:proofErr w:type="spellEnd"/>
            <w:r>
              <w:t>/ARB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371(5.8%)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210(7.0%)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0.0239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Beta-blocker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264(4.1%)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179(6.0%)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&lt;0.001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Aspirin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544(8.3%)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282(9.3%)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0.1191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Clopidogrel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226(3.4%)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114(3.7%)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0.4574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t>Diuretics</w:t>
            </w:r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62(1.0%)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 xml:space="preserve"> 23(0.8%)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0.3690</w:t>
            </w:r>
          </w:p>
        </w:tc>
      </w:tr>
      <w:tr w:rsidR="00481E27" w:rsidTr="00BF6F43">
        <w:trPr>
          <w:trHeight w:val="246"/>
        </w:trPr>
        <w:tc>
          <w:tcPr>
            <w:tcW w:w="3205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proofErr w:type="spellStart"/>
            <w:r>
              <w:rPr>
                <w:rFonts w:hint="eastAsia"/>
              </w:rPr>
              <w:t>CCB</w:t>
            </w:r>
            <w:proofErr w:type="spellEnd"/>
          </w:p>
        </w:tc>
        <w:tc>
          <w:tcPr>
            <w:tcW w:w="2648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487(7.6%)</w:t>
            </w:r>
          </w:p>
        </w:tc>
        <w:tc>
          <w:tcPr>
            <w:tcW w:w="2492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200(6.6%)</w:t>
            </w:r>
          </w:p>
        </w:tc>
        <w:tc>
          <w:tcPr>
            <w:tcW w:w="2316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  <w:jc w:val="center"/>
            </w:pPr>
            <w:r>
              <w:rPr>
                <w:rFonts w:hint="eastAsia"/>
              </w:rPr>
              <w:t>0.0985</w:t>
            </w:r>
          </w:p>
        </w:tc>
      </w:tr>
    </w:tbl>
    <w:p w:rsidR="00481E27" w:rsidRDefault="00BF6F43">
      <w:r>
        <w:rPr>
          <w:rFonts w:hint="eastAsia"/>
        </w:rPr>
        <w:t>Continuous variables are medians with 25th and 75th percentiles. Abbreviations: BMI</w:t>
      </w:r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lastRenderedPageBreak/>
        <w:t>Body Mass Index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SBP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Systolic blood pressure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DBP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diastolic blood pressure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L</w:t>
      </w:r>
      <w:r>
        <w:rPr>
          <w:rFonts w:hint="eastAsia"/>
        </w:rPr>
        <w:t>VEF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left ventricular ejection fraction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LDL-C, low-density lipoprotein cholesterol; HDL-C, low-density lipoprotein cholesterol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Hs-CRP</w:t>
      </w:r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High-sensitivity C-reactive protein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NT-</w:t>
      </w:r>
      <w:proofErr w:type="spellStart"/>
      <w:r>
        <w:rPr>
          <w:rFonts w:hint="eastAsia"/>
        </w:rPr>
        <w:t>proBNP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N-terminal pro-brain natriuretic peptide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WBC</w:t>
      </w:r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white blood cell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PLT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platelet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MI</w:t>
      </w:r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myocardial infarction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TnI</w:t>
      </w:r>
      <w:proofErr w:type="spellEnd"/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Troponin I/T</w:t>
      </w:r>
      <w:r w:rsidR="0048192A">
        <w:rPr>
          <w:rFonts w:hint="eastAsia"/>
        </w:rPr>
        <w:t>;</w:t>
      </w:r>
      <w:r w:rsidR="0048192A">
        <w:t xml:space="preserve"> </w:t>
      </w:r>
      <w:r>
        <w:rPr>
          <w:rFonts w:hint="eastAsia"/>
        </w:rPr>
        <w:t>COPD</w:t>
      </w:r>
      <w:r w:rsidR="0048192A">
        <w:t xml:space="preserve">, </w:t>
      </w:r>
      <w:r>
        <w:rPr>
          <w:rFonts w:hint="eastAsia"/>
        </w:rPr>
        <w:t>Chronic Obstructive Pulmonary Disease</w:t>
      </w:r>
      <w:r w:rsidR="0048192A">
        <w:rPr>
          <w:rFonts w:hint="eastAsia"/>
        </w:rPr>
        <w:t>;</w:t>
      </w:r>
      <w:r w:rsidR="0048192A">
        <w:t xml:space="preserve"> </w:t>
      </w:r>
      <w:proofErr w:type="spellStart"/>
      <w:r>
        <w:rPr>
          <w:rFonts w:hint="eastAsia"/>
        </w:rPr>
        <w:t>ACEi</w:t>
      </w:r>
      <w:proofErr w:type="spellEnd"/>
      <w:r>
        <w:rPr>
          <w:rFonts w:hint="eastAsia"/>
        </w:rPr>
        <w:t>/ARB</w:t>
      </w:r>
      <w:r w:rsidR="0048192A">
        <w:rPr>
          <w:rFonts w:hint="eastAsia"/>
        </w:rPr>
        <w:t>,</w:t>
      </w:r>
      <w:r w:rsidR="0048192A">
        <w:t xml:space="preserve"> </w:t>
      </w:r>
      <w:r>
        <w:rPr>
          <w:rFonts w:hint="eastAsia"/>
        </w:rPr>
        <w:t>angiotensin-converting enzyme inhibitor/angiotensin receptor blocker.</w:t>
      </w:r>
    </w:p>
    <w:p w:rsidR="00BF6F43" w:rsidRDefault="00BF6F43">
      <w:pPr>
        <w:rPr>
          <w:rFonts w:hint="eastAsia"/>
        </w:rPr>
      </w:pPr>
    </w:p>
    <w:p w:rsidR="00481E27" w:rsidRPr="00BF6F43" w:rsidRDefault="00BF6F43" w:rsidP="00BF6F43">
      <w:pPr>
        <w:jc w:val="center"/>
        <w:rPr>
          <w:b/>
        </w:rPr>
      </w:pPr>
      <w:r w:rsidRPr="00BF6F43">
        <w:rPr>
          <w:rFonts w:hint="eastAsia"/>
          <w:b/>
        </w:rPr>
        <w:t xml:space="preserve">Table </w:t>
      </w:r>
      <w:proofErr w:type="spellStart"/>
      <w:r w:rsidRPr="00BF6F43">
        <w:rPr>
          <w:rFonts w:hint="eastAsia"/>
          <w:b/>
        </w:rPr>
        <w:t>S</w:t>
      </w:r>
      <w:r w:rsidRPr="00BF6F43">
        <w:rPr>
          <w:rFonts w:hint="eastAsia"/>
          <w:b/>
        </w:rPr>
        <w:t>2</w:t>
      </w:r>
      <w:proofErr w:type="spellEnd"/>
      <w:r w:rsidRPr="00BF6F43">
        <w:rPr>
          <w:rFonts w:hint="eastAsia"/>
          <w:b/>
        </w:rPr>
        <w:t xml:space="preserve"> Demographic and baseline characteristics of the patients by missing data status categories (missing vs non-missing).</w:t>
      </w:r>
    </w:p>
    <w:tbl>
      <w:tblPr>
        <w:tblStyle w:val="a3"/>
        <w:tblW w:w="9018" w:type="dxa"/>
        <w:tblInd w:w="-602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667"/>
        <w:gridCol w:w="2203"/>
        <w:gridCol w:w="2074"/>
        <w:gridCol w:w="2074"/>
      </w:tblGrid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481E27" w:rsidP="00BF6F43">
            <w:pPr>
              <w:snapToGrid w:val="0"/>
              <w:spacing w:beforeLines="0" w:before="0" w:afterLines="0" w:after="0" w:line="240" w:lineRule="auto"/>
            </w:pP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Non-Missing(n)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Missing(n)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gramStart"/>
            <w:r>
              <w:rPr>
                <w:rFonts w:hint="eastAsia"/>
              </w:rPr>
              <w:t>Missing(</w:t>
            </w:r>
            <w:proofErr w:type="gramEnd"/>
            <w:r>
              <w:rPr>
                <w:rFonts w:hint="eastAsia"/>
              </w:rPr>
              <w:t>%)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N (total=104</w:t>
            </w:r>
            <w:r>
              <w:rPr>
                <w:rFonts w:hint="eastAsia"/>
              </w:rPr>
              <w:t>82</w:t>
            </w:r>
            <w:r>
              <w:t>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10482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-</w:t>
            </w:r>
          </w:p>
        </w:tc>
        <w:tc>
          <w:tcPr>
            <w:tcW w:w="2074" w:type="dxa"/>
          </w:tcPr>
          <w:p w:rsidR="00481E27" w:rsidRDefault="00481E27" w:rsidP="00BF6F43">
            <w:pPr>
              <w:snapToGrid w:val="0"/>
              <w:spacing w:beforeLines="0" w:before="0" w:afterLines="0" w:after="0" w:line="240" w:lineRule="auto"/>
            </w:pP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Age (years)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10415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0.64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Male sex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10482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0.00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BMI (kg/</w:t>
            </w:r>
            <w:proofErr w:type="spellStart"/>
            <w:r>
              <w:t>m</w:t>
            </w:r>
            <w:r>
              <w:rPr>
                <w:vertAlign w:val="superscript"/>
              </w:rPr>
              <w:t>2</w:t>
            </w:r>
            <w:proofErr w:type="spellEnd"/>
            <w:r>
              <w:t>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10139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343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3.27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 xml:space="preserve">Baseline </w:t>
            </w:r>
            <w:proofErr w:type="spellStart"/>
            <w:r>
              <w:t>SBP</w:t>
            </w:r>
            <w:proofErr w:type="spellEnd"/>
            <w:r>
              <w:t xml:space="preserve"> (mmHg)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10482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0.00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 xml:space="preserve">Baseline </w:t>
            </w:r>
            <w:proofErr w:type="spellStart"/>
            <w:r>
              <w:rPr>
                <w:rFonts w:hint="eastAsia"/>
              </w:rPr>
              <w:t>D</w:t>
            </w:r>
            <w:r>
              <w:t>BP</w:t>
            </w:r>
            <w:proofErr w:type="spellEnd"/>
            <w:r>
              <w:t xml:space="preserve"> (mmHg)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10482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0.00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Heart</w:t>
            </w:r>
            <w:r>
              <w:rPr>
                <w:rFonts w:hint="eastAsia"/>
              </w:rPr>
              <w:t xml:space="preserve"> </w:t>
            </w:r>
            <w:r>
              <w:t>rate (</w:t>
            </w:r>
            <w:proofErr w:type="spellStart"/>
            <w:r>
              <w:t>b.p.m</w:t>
            </w:r>
            <w:proofErr w:type="spellEnd"/>
            <w:r>
              <w:t>.)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10470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0.11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t>LVEF</w:t>
            </w:r>
            <w:proofErr w:type="spellEnd"/>
            <w:r>
              <w:t xml:space="preserve"> (%)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9106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1376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13.13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Killip III/</w:t>
            </w:r>
            <w:proofErr w:type="gramStart"/>
            <w:r>
              <w:t>IV(</w:t>
            </w:r>
            <w:proofErr w:type="gramEnd"/>
            <w:r>
              <w:t>%)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10444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38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0.36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Mean glucose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10105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377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3.60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LDL-C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9676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806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7.69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HDL-C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9687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795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7.58</w:t>
            </w:r>
          </w:p>
        </w:tc>
      </w:tr>
      <w:tr w:rsidR="00481E27" w:rsidTr="00BF6F43">
        <w:trPr>
          <w:trHeight w:val="705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Total Cholesterol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9791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691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6.59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Triglycerides</w:t>
            </w:r>
            <w:r>
              <w:t>（</w:t>
            </w:r>
            <w:r>
              <w:t>mmol/L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9895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587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5.60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Hs-CRP</w:t>
            </w:r>
            <w:r>
              <w:t>（</w:t>
            </w:r>
            <w:r>
              <w:t>mg/L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3699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6783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64.71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NT-</w:t>
            </w:r>
            <w:proofErr w:type="spellStart"/>
            <w:r>
              <w:t>proBNP</w:t>
            </w:r>
            <w:proofErr w:type="spellEnd"/>
            <w:r>
              <w:t>（</w:t>
            </w:r>
            <w:proofErr w:type="spellStart"/>
            <w:r>
              <w:t>fmmol</w:t>
            </w:r>
            <w:proofErr w:type="spellEnd"/>
            <w:r>
              <w:t>/L</w:t>
            </w:r>
            <w:r>
              <w:t>）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5139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5343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50.97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WBC (</w:t>
            </w:r>
            <w:proofErr w:type="spellStart"/>
            <w:r>
              <w:t>x10^9</w:t>
            </w:r>
            <w:proofErr w:type="spellEnd"/>
            <w:r>
              <w:t>/L)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10345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137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1.31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t>PLT</w:t>
            </w:r>
            <w:proofErr w:type="spellEnd"/>
            <w:r>
              <w:t xml:space="preserve"> (</w:t>
            </w:r>
            <w:proofErr w:type="spellStart"/>
            <w:r>
              <w:t>x10^9</w:t>
            </w:r>
            <w:proofErr w:type="spellEnd"/>
            <w:r>
              <w:t>/L)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10338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144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1.37</w:t>
            </w:r>
          </w:p>
        </w:tc>
      </w:tr>
      <w:tr w:rsidR="00481E27" w:rsidTr="00BF6F43">
        <w:trPr>
          <w:trHeight w:val="705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lastRenderedPageBreak/>
              <w:t>Serum creatinine (m</w:t>
            </w:r>
            <w:r>
              <w:t>mol/L</w:t>
            </w:r>
            <w:r>
              <w:rPr>
                <w:rFonts w:hint="eastAsia"/>
              </w:rPr>
              <w:t>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10287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195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1.86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Previous MI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9922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560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5.34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t>TnI</w:t>
            </w:r>
            <w:proofErr w:type="spellEnd"/>
            <w:r>
              <w:t xml:space="preserve"> (ng/mL)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3806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6676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63.69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History of heart failure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10030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452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4.31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Admission heart failure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10409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73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0.70</w:t>
            </w:r>
          </w:p>
        </w:tc>
      </w:tr>
      <w:tr w:rsidR="00481E27" w:rsidTr="00BF6F43">
        <w:trPr>
          <w:trHeight w:val="705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Admission cardiogenic Shock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10432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50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0.48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Admission cardiac arrest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10453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29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0.28</w:t>
            </w:r>
          </w:p>
        </w:tc>
      </w:tr>
      <w:tr w:rsidR="00481E27" w:rsidTr="00BF6F43">
        <w:trPr>
          <w:trHeight w:val="705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Peripheral vascular disease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10066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416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3.97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Hyperlipidemia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9397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1085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10.35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Diabetes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10141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341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3.25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Prior stroke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10109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373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3.56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COPD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10051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467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4.46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t>Haemoglobin</w:t>
            </w:r>
            <w:proofErr w:type="spellEnd"/>
            <w:r>
              <w:t xml:space="preserve"> (g/dL)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10335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147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1.40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t>ACEi</w:t>
            </w:r>
            <w:proofErr w:type="spellEnd"/>
            <w:r>
              <w:t>/ARB</w:t>
            </w:r>
          </w:p>
        </w:tc>
        <w:tc>
          <w:tcPr>
            <w:tcW w:w="2203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9397</w:t>
            </w:r>
          </w:p>
        </w:tc>
        <w:tc>
          <w:tcPr>
            <w:tcW w:w="2074" w:type="dxa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1085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10.35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Beta-blocker</w:t>
            </w:r>
          </w:p>
        </w:tc>
        <w:tc>
          <w:tcPr>
            <w:tcW w:w="2203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9436</w:t>
            </w:r>
          </w:p>
        </w:tc>
        <w:tc>
          <w:tcPr>
            <w:tcW w:w="2074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9.98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Aspirin</w:t>
            </w:r>
          </w:p>
        </w:tc>
        <w:tc>
          <w:tcPr>
            <w:tcW w:w="2203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9573</w:t>
            </w:r>
          </w:p>
        </w:tc>
        <w:tc>
          <w:tcPr>
            <w:tcW w:w="2074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909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8.67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Clopidogrel</w:t>
            </w:r>
          </w:p>
        </w:tc>
        <w:tc>
          <w:tcPr>
            <w:tcW w:w="2203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9612</w:t>
            </w:r>
          </w:p>
        </w:tc>
        <w:tc>
          <w:tcPr>
            <w:tcW w:w="2074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870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8.30</w:t>
            </w:r>
          </w:p>
        </w:tc>
      </w:tr>
      <w:tr w:rsidR="00481E27" w:rsidTr="00BF6F43">
        <w:trPr>
          <w:trHeight w:val="441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t>Diuretics</w:t>
            </w:r>
          </w:p>
        </w:tc>
        <w:tc>
          <w:tcPr>
            <w:tcW w:w="2203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9526</w:t>
            </w:r>
          </w:p>
        </w:tc>
        <w:tc>
          <w:tcPr>
            <w:tcW w:w="2074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956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9.12</w:t>
            </w:r>
          </w:p>
        </w:tc>
      </w:tr>
      <w:tr w:rsidR="00481E27" w:rsidTr="00BF6F43">
        <w:trPr>
          <w:trHeight w:val="433"/>
        </w:trPr>
        <w:tc>
          <w:tcPr>
            <w:tcW w:w="2667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proofErr w:type="spellStart"/>
            <w:r>
              <w:rPr>
                <w:rFonts w:hint="eastAsia"/>
              </w:rPr>
              <w:t>CCB</w:t>
            </w:r>
            <w:proofErr w:type="spellEnd"/>
          </w:p>
        </w:tc>
        <w:tc>
          <w:tcPr>
            <w:tcW w:w="2203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9433</w:t>
            </w:r>
          </w:p>
        </w:tc>
        <w:tc>
          <w:tcPr>
            <w:tcW w:w="2074" w:type="dxa"/>
            <w:shd w:val="clear" w:color="auto" w:fill="auto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1049</w:t>
            </w:r>
          </w:p>
        </w:tc>
        <w:tc>
          <w:tcPr>
            <w:tcW w:w="2074" w:type="dxa"/>
            <w:vAlign w:val="center"/>
          </w:tcPr>
          <w:p w:rsidR="00481E27" w:rsidRDefault="00BF6F43" w:rsidP="00BF6F43">
            <w:pPr>
              <w:snapToGrid w:val="0"/>
              <w:spacing w:beforeLines="0" w:before="0" w:afterLines="0" w:after="0" w:line="240" w:lineRule="auto"/>
            </w:pPr>
            <w:r>
              <w:rPr>
                <w:rFonts w:hint="eastAsia"/>
              </w:rPr>
              <w:t>10.01</w:t>
            </w:r>
          </w:p>
        </w:tc>
      </w:tr>
    </w:tbl>
    <w:p w:rsidR="00481E27" w:rsidRDefault="00BF6F43">
      <w:r>
        <w:rPr>
          <w:rFonts w:hint="eastAsia"/>
        </w:rPr>
        <w:t>Continuous variables are medians with 25th and 75th percentiles. Abbreviations: BMI,</w:t>
      </w:r>
      <w:r>
        <w:t xml:space="preserve"> </w:t>
      </w:r>
      <w:r>
        <w:rPr>
          <w:rFonts w:hint="eastAsia"/>
        </w:rPr>
        <w:t>Body Mass Index;</w:t>
      </w:r>
      <w:r>
        <w:t xml:space="preserve"> </w:t>
      </w:r>
      <w:proofErr w:type="spellStart"/>
      <w:r>
        <w:rPr>
          <w:rFonts w:hint="eastAsia"/>
        </w:rPr>
        <w:t>SBP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Systolic blood pressure;</w:t>
      </w:r>
      <w:r>
        <w:t xml:space="preserve"> </w:t>
      </w:r>
      <w:proofErr w:type="spellStart"/>
      <w:r>
        <w:rPr>
          <w:rFonts w:hint="eastAsia"/>
        </w:rPr>
        <w:t>DBP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diastolic blood pressure;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LVEF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left ventricular ejection fraction;</w:t>
      </w:r>
      <w:r>
        <w:rPr>
          <w:rFonts w:hint="eastAsia"/>
        </w:rPr>
        <w:t xml:space="preserve"> LDL-C, </w:t>
      </w:r>
      <w:r>
        <w:rPr>
          <w:rFonts w:hint="eastAsia"/>
        </w:rPr>
        <w:t>low-density lipoprotein cholesterol; HDL-C, low-density lipoprotein cholesterol;</w:t>
      </w:r>
      <w:r>
        <w:t xml:space="preserve"> </w:t>
      </w:r>
      <w:r>
        <w:rPr>
          <w:rFonts w:hint="eastAsia"/>
        </w:rPr>
        <w:t>Hs-CRP,</w:t>
      </w:r>
      <w:r>
        <w:t xml:space="preserve"> </w:t>
      </w:r>
      <w:r>
        <w:rPr>
          <w:rFonts w:hint="eastAsia"/>
        </w:rPr>
        <w:t>High-sensitivity C-reactive protein;</w:t>
      </w:r>
      <w:r>
        <w:t xml:space="preserve"> </w:t>
      </w:r>
      <w:r>
        <w:rPr>
          <w:rFonts w:hint="eastAsia"/>
        </w:rPr>
        <w:t>NT-</w:t>
      </w:r>
      <w:proofErr w:type="spellStart"/>
      <w:r>
        <w:rPr>
          <w:rFonts w:hint="eastAsia"/>
        </w:rPr>
        <w:t>proBNP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N-terminal pro-brain natriuretic peptide;</w:t>
      </w:r>
      <w:r>
        <w:t xml:space="preserve"> </w:t>
      </w:r>
      <w:r>
        <w:rPr>
          <w:rFonts w:hint="eastAsia"/>
        </w:rPr>
        <w:t>WBC,</w:t>
      </w:r>
      <w:r>
        <w:t xml:space="preserve"> </w:t>
      </w:r>
      <w:r>
        <w:rPr>
          <w:rFonts w:hint="eastAsia"/>
        </w:rPr>
        <w:t>white blood cell;</w:t>
      </w:r>
      <w:r>
        <w:t xml:space="preserve"> </w:t>
      </w:r>
      <w:proofErr w:type="spellStart"/>
      <w:r>
        <w:rPr>
          <w:rFonts w:hint="eastAsia"/>
        </w:rPr>
        <w:t>PLT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platelet;</w:t>
      </w:r>
      <w:r>
        <w:t xml:space="preserve"> </w:t>
      </w:r>
      <w:r>
        <w:rPr>
          <w:rFonts w:hint="eastAsia"/>
        </w:rPr>
        <w:t>MI,</w:t>
      </w:r>
      <w:r>
        <w:t xml:space="preserve"> </w:t>
      </w:r>
      <w:r>
        <w:rPr>
          <w:rFonts w:hint="eastAsia"/>
        </w:rPr>
        <w:t>myocardial infarction;</w:t>
      </w:r>
      <w:r>
        <w:t xml:space="preserve"> </w:t>
      </w:r>
      <w:proofErr w:type="spellStart"/>
      <w:r>
        <w:rPr>
          <w:rFonts w:hint="eastAsia"/>
        </w:rPr>
        <w:t>TnI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Troponin I/T;</w:t>
      </w:r>
      <w:r>
        <w:t xml:space="preserve"> </w:t>
      </w:r>
      <w:r>
        <w:rPr>
          <w:rFonts w:hint="eastAsia"/>
        </w:rPr>
        <w:t xml:space="preserve">COPD: </w:t>
      </w:r>
      <w:r>
        <w:rPr>
          <w:rFonts w:hint="eastAsia"/>
        </w:rPr>
        <w:t>Chronic Obstructive Pulmonary Disease;</w:t>
      </w:r>
      <w:r>
        <w:t xml:space="preserve"> </w:t>
      </w:r>
      <w:proofErr w:type="spellStart"/>
      <w:r>
        <w:rPr>
          <w:rFonts w:hint="eastAsia"/>
        </w:rPr>
        <w:t>ACEi</w:t>
      </w:r>
      <w:proofErr w:type="spellEnd"/>
      <w:r>
        <w:rPr>
          <w:rFonts w:hint="eastAsia"/>
        </w:rPr>
        <w:t>/ARB,</w:t>
      </w:r>
      <w:r>
        <w:t xml:space="preserve"> </w:t>
      </w:r>
      <w:r>
        <w:rPr>
          <w:rFonts w:hint="eastAsia"/>
        </w:rPr>
        <w:t>angiotensin-converting enzyme inhibitor/angiotensin receptor blocker.</w:t>
      </w:r>
      <w:bookmarkStart w:id="0" w:name="_GoBack"/>
      <w:bookmarkEnd w:id="0"/>
    </w:p>
    <w:p w:rsidR="00481E27" w:rsidRPr="00BF6F43" w:rsidRDefault="00481E27"/>
    <w:sectPr w:rsidR="00481E27" w:rsidRPr="00BF6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E27" w:rsidRDefault="00BF6F43">
      <w:pPr>
        <w:spacing w:before="120" w:after="120" w:line="240" w:lineRule="auto"/>
      </w:pPr>
      <w:r>
        <w:separator/>
      </w:r>
    </w:p>
  </w:endnote>
  <w:endnote w:type="continuationSeparator" w:id="0">
    <w:p w:rsidR="00481E27" w:rsidRDefault="00BF6F43">
      <w:pPr>
        <w:spacing w:before="120" w:after="12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E27" w:rsidRDefault="00BF6F43">
      <w:pPr>
        <w:spacing w:before="120" w:after="120"/>
      </w:pPr>
      <w:r>
        <w:separator/>
      </w:r>
    </w:p>
  </w:footnote>
  <w:footnote w:type="continuationSeparator" w:id="0">
    <w:p w:rsidR="00481E27" w:rsidRDefault="00BF6F43">
      <w:pPr>
        <w:spacing w:before="120" w:after="1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5451B82"/>
    <w:rsid w:val="0048192A"/>
    <w:rsid w:val="00481E27"/>
    <w:rsid w:val="00BF6F43"/>
    <w:rsid w:val="25451B82"/>
    <w:rsid w:val="3014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20F58F"/>
  <w15:docId w15:val="{8C41C4A4-4BA2-4817-A0E6-6A4E6980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Lines="50" w:before="156" w:afterLines="50" w:after="156" w:line="360" w:lineRule="auto"/>
      <w:jc w:val="both"/>
    </w:pPr>
    <w:rPr>
      <w:rFonts w:ascii="Times New Roman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小熊？⊙ω⊙</dc:creator>
  <cp:lastModifiedBy>Mia Chee</cp:lastModifiedBy>
  <cp:revision>3</cp:revision>
  <dcterms:created xsi:type="dcterms:W3CDTF">2025-08-25T15:22:00Z</dcterms:created>
  <dcterms:modified xsi:type="dcterms:W3CDTF">2025-08-30T04:02:00Z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7888757A5FDF4C91B8B4C2E9419245F7_11</vt:lpwstr>
  </property>
  <property fmtid="{D5CDD505-2E9C-101B-9397-08002B2CF9AE}" pid="4" name="KSOTemplateDocerSaveRecord">
    <vt:lpwstr>eyJoZGlkIjoiZTIwY2YzZGUzZTJjOTFlYTMyZjE0MzI0OGUwNjc0N2YiLCJ1c2VySWQiOiIzMDc4MDczOTUifQ==</vt:lpwstr>
  </property>
</Properties>
</file>